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“学风建设月”活动安排</w:t>
      </w:r>
    </w:p>
    <w:bookmarkEnd w:id="0"/>
    <w:tbl>
      <w:tblPr>
        <w:tblStyle w:val="6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4508"/>
        <w:gridCol w:w="2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间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活动安排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负责部门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1-3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氛围营造（横幅、宣传栏、倡议书）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3-5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制定学风建设月活动方案、开展学风建设月活动动员大会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6-8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学风建设主题班会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各班级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优秀学生事迹报告会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学习经验交流会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学风建设学生代表座谈会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学风建设教师代表座谈会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考风考纪教育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优良学风班级评比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优良学风宿舍评比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学习标兵评比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一日常规专项检查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替宿、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夜不归宿、违章用电检查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基础文明养成教育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落实辅导员与任课教师联系制度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落实辅导员听课、学生公寓入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制度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全程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落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实学习困难学生帮扶机制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学风建设活动总结，学院总结材料（纸质和电子版）报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各二级学院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学风建设月活动评比、表彰、宣传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学风建设月领导小组</w:t>
            </w:r>
          </w:p>
        </w:tc>
      </w:tr>
    </w:tbl>
    <w:p>
      <w:pPr>
        <w:jc w:val="both"/>
        <w:rPr>
          <w:rFonts w:hint="eastAsia" w:asciiTheme="minorEastAsia" w:hAnsiTheme="minorEastAsia"/>
          <w:bCs/>
          <w:sz w:val="28"/>
          <w:szCs w:val="28"/>
        </w:rPr>
      </w:pPr>
    </w:p>
    <w:sectPr>
      <w:pgSz w:w="11906" w:h="16838"/>
      <w:pgMar w:top="1440" w:right="158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1CBA311C"/>
    <w:rsid w:val="33D848A9"/>
    <w:rsid w:val="345B166C"/>
    <w:rsid w:val="5BC010AA"/>
    <w:rsid w:val="7F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style6"/>
    <w:basedOn w:val="8"/>
    <w:qFormat/>
    <w:uiPriority w:val="0"/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7189</Words>
  <Characters>7347</Characters>
  <Lines>9</Lines>
  <Paragraphs>2</Paragraphs>
  <TotalTime>5</TotalTime>
  <ScaleCrop>false</ScaleCrop>
  <LinksUpToDate>false</LinksUpToDate>
  <CharactersWithSpaces>7644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姜姜</cp:lastModifiedBy>
  <cp:lastPrinted>2016-01-12T05:56:00Z</cp:lastPrinted>
  <dcterms:modified xsi:type="dcterms:W3CDTF">2024-06-03T02:32:30Z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79477F96095C4B088DF4E7A84391F5A0_13</vt:lpwstr>
  </property>
</Properties>
</file>